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24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и</w:t>
      </w:r>
      <w:r>
        <w:t xml:space="preserve"> </w:t>
      </w:r>
      <w:r>
        <w:t xml:space="preserve">конфигурация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на</w:t>
      </w:r>
      <w:r>
        <w:t xml:space="preserve"> </w:t>
      </w:r>
      <w:r>
        <w:t xml:space="preserve">виртуальную</w:t>
      </w:r>
      <w:r>
        <w:t xml:space="preserve"> </w:t>
      </w:r>
      <w:r>
        <w:t xml:space="preserve">машину</w:t>
      </w:r>
    </w:p>
    <w:p>
      <w:pPr>
        <w:pStyle w:val="Author"/>
      </w:pPr>
      <w:r>
        <w:t xml:space="preserve">Аксёнова</w:t>
      </w:r>
      <w:r>
        <w:t xml:space="preserve"> </w:t>
      </w:r>
      <w:r>
        <w:t xml:space="preserve">Алина</w:t>
      </w:r>
      <w:r>
        <w:t xml:space="preserve"> </w:t>
      </w:r>
      <w:r>
        <w:t xml:space="preserve">Владимировна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Установить на виртуальную машину VirtualBox операционную систему Linux, дистрибутив CentOs, а также настроить необходимые для работы сервисы.</w:t>
      </w:r>
    </w:p>
    <w:bookmarkEnd w:id="21"/>
    <w:bookmarkStart w:id="79" w:name="ход-работы"/>
    <w:p>
      <w:pPr>
        <w:pStyle w:val="Heading1"/>
      </w:pPr>
      <w:r>
        <w:t xml:space="preserve">Ход работы</w:t>
      </w:r>
    </w:p>
    <w:p>
      <w:pPr>
        <w:numPr>
          <w:ilvl w:val="0"/>
          <w:numId w:val="1001"/>
        </w:numPr>
        <w:pStyle w:val="Compact"/>
      </w:pPr>
      <w:r>
        <w:t xml:space="preserve">Запускаем VirtualBox. (Рис. -fig. 1).</w:t>
      </w:r>
    </w:p>
    <w:p>
      <w:pPr>
        <w:pStyle w:val="CaptionedFigure"/>
      </w:pPr>
      <w:bookmarkStart w:id="23" w:name="fig:001"/>
      <w:r>
        <w:drawing>
          <wp:inline>
            <wp:extent cx="5334000" cy="2952224"/>
            <wp:effectExtent b="0" l="0" r="0" t="0"/>
            <wp:docPr descr="Figure 1: Запуск VirtualBox" title="" id="1" name="Picture"/>
            <a:graphic>
              <a:graphicData uri="http://schemas.openxmlformats.org/drawingml/2006/picture">
                <pic:pic>
                  <pic:nvPicPr>
                    <pic:cNvPr descr="image/report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22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Запуск VirtualBox</w:t>
      </w:r>
    </w:p>
    <w:p>
      <w:pPr>
        <w:numPr>
          <w:ilvl w:val="0"/>
          <w:numId w:val="1002"/>
        </w:numPr>
        <w:pStyle w:val="Compact"/>
      </w:pPr>
      <w:r>
        <w:t xml:space="preserve">Проверяем в свойствах VirtualBox месторасположение каталога для виртуальных машин. (Рис. -fig. 2).</w:t>
      </w:r>
    </w:p>
    <w:p>
      <w:pPr>
        <w:pStyle w:val="CaptionedFigure"/>
      </w:pPr>
      <w:bookmarkStart w:id="25" w:name="fig:002"/>
      <w:r>
        <w:drawing>
          <wp:inline>
            <wp:extent cx="5334000" cy="2998157"/>
            <wp:effectExtent b="0" l="0" r="0" t="0"/>
            <wp:docPr descr="Figure 2: Месторасположение каталога для виртуальных машин" title="" id="1" name="Picture"/>
            <a:graphic>
              <a:graphicData uri="http://schemas.openxmlformats.org/drawingml/2006/picture">
                <pic:pic>
                  <pic:nvPicPr>
                    <pic:cNvPr descr="image/report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Месторасположение каталога для виртуальных машин</w:t>
      </w:r>
    </w:p>
    <w:p>
      <w:pPr>
        <w:numPr>
          <w:ilvl w:val="0"/>
          <w:numId w:val="1003"/>
        </w:numPr>
        <w:pStyle w:val="Compact"/>
      </w:pPr>
      <w:r>
        <w:t xml:space="preserve">Создаем новую виртуальную машину и указываем необходимые параметры. (Рис. -fig. 3, -fig. 4).</w:t>
      </w:r>
    </w:p>
    <w:p>
      <w:pPr>
        <w:pStyle w:val="CaptionedFigure"/>
      </w:pPr>
      <w:bookmarkStart w:id="27" w:name="fig:003"/>
      <w:r>
        <w:drawing>
          <wp:inline>
            <wp:extent cx="5334000" cy="3151909"/>
            <wp:effectExtent b="0" l="0" r="0" t="0"/>
            <wp:docPr descr="Figure 3: Выбор имени машины и типа ОС" title="" id="1" name="Picture"/>
            <a:graphic>
              <a:graphicData uri="http://schemas.openxmlformats.org/drawingml/2006/picture">
                <pic:pic>
                  <pic:nvPicPr>
                    <pic:cNvPr descr="image/report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1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Выбор имени машины и типа ОС</w:t>
      </w:r>
    </w:p>
    <w:p>
      <w:pPr>
        <w:pStyle w:val="CaptionedFigure"/>
      </w:pPr>
      <w:bookmarkStart w:id="29" w:name="fig:004"/>
      <w:r>
        <w:drawing>
          <wp:inline>
            <wp:extent cx="5334000" cy="3076850"/>
            <wp:effectExtent b="0" l="0" r="0" t="0"/>
            <wp:docPr descr="Figure 4: Указание объема памяти" title="" id="1" name="Picture"/>
            <a:graphic>
              <a:graphicData uri="http://schemas.openxmlformats.org/drawingml/2006/picture">
                <pic:pic>
                  <pic:nvPicPr>
                    <pic:cNvPr descr="image/report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Указание объема памяти</w:t>
      </w:r>
    </w:p>
    <w:p>
      <w:pPr>
        <w:numPr>
          <w:ilvl w:val="0"/>
          <w:numId w:val="1004"/>
        </w:numPr>
        <w:pStyle w:val="Compact"/>
      </w:pPr>
      <w:r>
        <w:t xml:space="preserve">Задаем конфигурацию жёсткого диска, а также его расположение и размер. (Рис. -fig. 5, -fig. 6, -fig. 7, -fig. 8).</w:t>
      </w:r>
    </w:p>
    <w:p>
      <w:pPr>
        <w:pStyle w:val="CaptionedFigure"/>
      </w:pPr>
      <w:bookmarkStart w:id="31" w:name="fig:005"/>
      <w:r>
        <w:drawing>
          <wp:inline>
            <wp:extent cx="5334000" cy="3122771"/>
            <wp:effectExtent b="0" l="0" r="0" t="0"/>
            <wp:docPr descr="Figure 5: Создание нового виртуального жесткого диска" title="" id="1" name="Picture"/>
            <a:graphic>
              <a:graphicData uri="http://schemas.openxmlformats.org/drawingml/2006/picture">
                <pic:pic>
                  <pic:nvPicPr>
                    <pic:cNvPr descr="image/report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2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Создание нового виртуального жесткого диска</w:t>
      </w:r>
    </w:p>
    <w:p>
      <w:pPr>
        <w:pStyle w:val="CaptionedFigure"/>
      </w:pPr>
      <w:bookmarkStart w:id="33" w:name="fig:006"/>
      <w:r>
        <w:drawing>
          <wp:inline>
            <wp:extent cx="5334000" cy="3214767"/>
            <wp:effectExtent b="0" l="0" r="0" t="0"/>
            <wp:docPr descr="Figure 6: Указание типа файла" title="" id="1" name="Picture"/>
            <a:graphic>
              <a:graphicData uri="http://schemas.openxmlformats.org/drawingml/2006/picture">
                <pic:pic>
                  <pic:nvPicPr>
                    <pic:cNvPr descr="image/report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4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Указание типа файла</w:t>
      </w:r>
    </w:p>
    <w:p>
      <w:pPr>
        <w:pStyle w:val="CaptionedFigure"/>
      </w:pPr>
      <w:bookmarkStart w:id="35" w:name="fig:007"/>
      <w:r>
        <w:drawing>
          <wp:inline>
            <wp:extent cx="5334000" cy="3186080"/>
            <wp:effectExtent b="0" l="0" r="0" t="0"/>
            <wp:docPr descr="Figure 7: Указание формата хранения" title="" id="1" name="Picture"/>
            <a:graphic>
              <a:graphicData uri="http://schemas.openxmlformats.org/drawingml/2006/picture">
                <pic:pic>
                  <pic:nvPicPr>
                    <pic:cNvPr descr="image/report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Указание формата хранения</w:t>
      </w:r>
    </w:p>
    <w:p>
      <w:pPr>
        <w:pStyle w:val="CaptionedFigure"/>
      </w:pPr>
      <w:bookmarkStart w:id="37" w:name="fig:008"/>
      <w:r>
        <w:drawing>
          <wp:inline>
            <wp:extent cx="5334000" cy="3113484"/>
            <wp:effectExtent b="0" l="0" r="0" t="0"/>
            <wp:docPr descr="Figure 8: Указание имени и размера файла" title="" id="1" name="Picture"/>
            <a:graphic>
              <a:graphicData uri="http://schemas.openxmlformats.org/drawingml/2006/picture">
                <pic:pic>
                  <pic:nvPicPr>
                    <pic:cNvPr descr="image/report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3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Указание имени и размера файла</w:t>
      </w:r>
    </w:p>
    <w:p>
      <w:pPr>
        <w:numPr>
          <w:ilvl w:val="0"/>
          <w:numId w:val="1005"/>
        </w:numPr>
        <w:pStyle w:val="Compact"/>
      </w:pPr>
      <w:r>
        <w:t xml:space="preserve">Проверяем местоположение папки для снимков виртуальной машины Base. (Рис. -fig. 9).</w:t>
      </w:r>
    </w:p>
    <w:p>
      <w:pPr>
        <w:pStyle w:val="CaptionedFigure"/>
      </w:pPr>
      <w:bookmarkStart w:id="38" w:name="fig:009"/>
      <w:r>
        <w:drawing>
          <wp:inline>
            <wp:extent cx="5334000" cy="3113484"/>
            <wp:effectExtent b="0" l="0" r="0" t="0"/>
            <wp:docPr descr="Figure 9: “Свойства” виртуальной машины Base" title="" id="1" name="Picture"/>
            <a:graphic>
              <a:graphicData uri="http://schemas.openxmlformats.org/drawingml/2006/picture">
                <pic:pic>
                  <pic:nvPicPr>
                    <pic:cNvPr descr="image/report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3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9:</w:t>
      </w:r>
      <w:r>
        <w:t xml:space="preserve"> </w:t>
      </w:r>
      <w:r>
        <w:t xml:space="preserve">“</w:t>
      </w:r>
      <w:r>
        <w:t xml:space="preserve">Свойства</w:t>
      </w:r>
      <w:r>
        <w:t xml:space="preserve">”</w:t>
      </w:r>
      <w:r>
        <w:t xml:space="preserve"> </w:t>
      </w:r>
      <w:r>
        <w:t xml:space="preserve">виртуальной машины Base</w:t>
      </w:r>
    </w:p>
    <w:p>
      <w:pPr>
        <w:numPr>
          <w:ilvl w:val="0"/>
          <w:numId w:val="1006"/>
        </w:numPr>
        <w:pStyle w:val="Compact"/>
      </w:pPr>
      <w:r>
        <w:t xml:space="preserve">Выбираем образ оптического диска в окне</w:t>
      </w:r>
      <w:r>
        <w:t xml:space="preserve"> </w:t>
      </w:r>
      <w:r>
        <w:t xml:space="preserve">“</w:t>
      </w:r>
      <w:r>
        <w:t xml:space="preserve">Носители</w:t>
      </w:r>
      <w:r>
        <w:t xml:space="preserve">”</w:t>
      </w:r>
      <w:r>
        <w:t xml:space="preserve">. (Рис. -fig. 10).</w:t>
      </w:r>
    </w:p>
    <w:p>
      <w:pPr>
        <w:pStyle w:val="CaptionedFigure"/>
      </w:pPr>
      <w:bookmarkStart w:id="40" w:name="fig:010"/>
      <w:r>
        <w:drawing>
          <wp:inline>
            <wp:extent cx="5334000" cy="3676315"/>
            <wp:effectExtent b="0" l="0" r="0" t="0"/>
            <wp:docPr descr="Figure 10: Указание типа файла" title="" id="1" name="Picture"/>
            <a:graphic>
              <a:graphicData uri="http://schemas.openxmlformats.org/drawingml/2006/picture">
                <pic:pic>
                  <pic:nvPicPr>
                    <pic:cNvPr descr="image/report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6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10: Указание типа файла</w:t>
      </w:r>
    </w:p>
    <w:p>
      <w:pPr>
        <w:numPr>
          <w:ilvl w:val="0"/>
          <w:numId w:val="1007"/>
        </w:numPr>
        <w:pStyle w:val="Compact"/>
      </w:pPr>
      <w:r>
        <w:t xml:space="preserve">Запускаем виртуальную машину Base и проводим конфигурацию параметров будущей ОС в соответствии с требованиями. (Рис. -fig. 11, -fig. 12, -fig. 13, -fig. 14, -fig. 15, -fig. 16, -fig. 17).</w:t>
      </w:r>
    </w:p>
    <w:p>
      <w:pPr>
        <w:pStyle w:val="CaptionedFigure"/>
      </w:pPr>
      <w:bookmarkStart w:id="42" w:name="fig:011"/>
      <w:r>
        <w:drawing>
          <wp:inline>
            <wp:extent cx="4694944" cy="4149378"/>
            <wp:effectExtent b="0" l="0" r="0" t="0"/>
            <wp:docPr descr="Figure 11: Запуск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report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944" cy="4149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11: Запуск виртуальной машины</w:t>
      </w:r>
    </w:p>
    <w:p>
      <w:pPr>
        <w:pStyle w:val="CaptionedFigure"/>
      </w:pPr>
      <w:bookmarkStart w:id="44" w:name="fig:012"/>
      <w:r>
        <w:drawing>
          <wp:inline>
            <wp:extent cx="5334000" cy="4480277"/>
            <wp:effectExtent b="0" l="0" r="0" t="0"/>
            <wp:docPr descr="Figure 12: Установка языка для интерфейса" title="" id="1" name="Picture"/>
            <a:graphic>
              <a:graphicData uri="http://schemas.openxmlformats.org/drawingml/2006/picture">
                <pic:pic>
                  <pic:nvPicPr>
                    <pic:cNvPr descr="image/report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0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12: Установка языка для интерфейса</w:t>
      </w:r>
    </w:p>
    <w:p>
      <w:pPr>
        <w:pStyle w:val="CaptionedFigure"/>
      </w:pPr>
      <w:bookmarkStart w:id="46" w:name="fig:013"/>
      <w:r>
        <w:drawing>
          <wp:inline>
            <wp:extent cx="5334000" cy="4570971"/>
            <wp:effectExtent b="0" l="0" r="0" t="0"/>
            <wp:docPr descr="Figure 13: Подключение сети" title="" id="1" name="Picture"/>
            <a:graphic>
              <a:graphicData uri="http://schemas.openxmlformats.org/drawingml/2006/picture">
                <pic:pic>
                  <pic:nvPicPr>
                    <pic:cNvPr descr="image/report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0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13: Подключение сети</w:t>
      </w:r>
    </w:p>
    <w:p>
      <w:pPr>
        <w:pStyle w:val="CaptionedFigure"/>
      </w:pPr>
      <w:bookmarkStart w:id="48" w:name="fig:014"/>
      <w:r>
        <w:drawing>
          <wp:inline>
            <wp:extent cx="5334000" cy="4688758"/>
            <wp:effectExtent b="0" l="0" r="0" t="0"/>
            <wp:docPr descr="Figure 14: Установка даты и времени" title="" id="1" name="Picture"/>
            <a:graphic>
              <a:graphicData uri="http://schemas.openxmlformats.org/drawingml/2006/picture">
                <pic:pic>
                  <pic:nvPicPr>
                    <pic:cNvPr descr="image/report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8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14: Установка даты и времени</w:t>
      </w:r>
    </w:p>
    <w:p>
      <w:pPr>
        <w:pStyle w:val="CaptionedFigure"/>
      </w:pPr>
      <w:bookmarkStart w:id="50" w:name="fig:015"/>
      <w:r>
        <w:drawing>
          <wp:inline>
            <wp:extent cx="5334000" cy="4477752"/>
            <wp:effectExtent b="0" l="0" r="0" t="0"/>
            <wp:docPr descr="Figure 15: Установка языка для раскладки клавиатуры" title="" id="1" name="Picture"/>
            <a:graphic>
              <a:graphicData uri="http://schemas.openxmlformats.org/drawingml/2006/picture">
                <pic:pic>
                  <pic:nvPicPr>
                    <pic:cNvPr descr="image/report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7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15: Установка языка для раскладки клавиатуры</w:t>
      </w:r>
    </w:p>
    <w:p>
      <w:pPr>
        <w:pStyle w:val="CaptionedFigure"/>
      </w:pPr>
      <w:bookmarkStart w:id="52" w:name="fig:016"/>
      <w:r>
        <w:drawing>
          <wp:inline>
            <wp:extent cx="5334000" cy="4753282"/>
            <wp:effectExtent b="0" l="0" r="0" t="0"/>
            <wp:docPr descr="Figure 16: Выбор программ" title="" id="1" name="Picture"/>
            <a:graphic>
              <a:graphicData uri="http://schemas.openxmlformats.org/drawingml/2006/picture">
                <pic:pic>
                  <pic:nvPicPr>
                    <pic:cNvPr descr="image/report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32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16: Выбор программ</w:t>
      </w:r>
    </w:p>
    <w:p>
      <w:pPr>
        <w:pStyle w:val="CaptionedFigure"/>
      </w:pPr>
      <w:bookmarkStart w:id="54" w:name="fig:017"/>
      <w:r>
        <w:drawing>
          <wp:inline>
            <wp:extent cx="5334000" cy="4710266"/>
            <wp:effectExtent b="0" l="0" r="0" t="0"/>
            <wp:docPr descr="Figure 17: Выбор устройства для установки ОС" title="" id="1" name="Picture"/>
            <a:graphic>
              <a:graphicData uri="http://schemas.openxmlformats.org/drawingml/2006/picture">
                <pic:pic>
                  <pic:nvPicPr>
                    <pic:cNvPr descr="image/report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0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17: Выбор устройства для установки ОС</w:t>
      </w:r>
    </w:p>
    <w:p>
      <w:pPr>
        <w:numPr>
          <w:ilvl w:val="0"/>
          <w:numId w:val="1008"/>
        </w:numPr>
        <w:pStyle w:val="Compact"/>
      </w:pPr>
      <w:r>
        <w:t xml:space="preserve">Задаем пароль на root права и создаем пользователя с правами администратора. (Рис. -fig. 18, -fig. 19).</w:t>
      </w:r>
    </w:p>
    <w:p>
      <w:pPr>
        <w:pStyle w:val="CaptionedFigure"/>
      </w:pPr>
      <w:bookmarkStart w:id="56" w:name="fig:018"/>
      <w:r>
        <w:drawing>
          <wp:inline>
            <wp:extent cx="5334000" cy="4489151"/>
            <wp:effectExtent b="0" l="0" r="0" t="0"/>
            <wp:docPr descr="Figure 18: Пароль на root права" title="" id="1" name="Picture"/>
            <a:graphic>
              <a:graphicData uri="http://schemas.openxmlformats.org/drawingml/2006/picture">
                <pic:pic>
                  <pic:nvPicPr>
                    <pic:cNvPr descr="image/report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9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18: Пароль на root права</w:t>
      </w:r>
    </w:p>
    <w:p>
      <w:pPr>
        <w:pStyle w:val="CaptionedFigure"/>
      </w:pPr>
      <w:bookmarkStart w:id="58" w:name="fig:019"/>
      <w:r>
        <w:drawing>
          <wp:inline>
            <wp:extent cx="5334000" cy="3933649"/>
            <wp:effectExtent b="0" l="0" r="0" t="0"/>
            <wp:docPr descr="Figure 19: Создание пользователя" title="" id="1" name="Picture"/>
            <a:graphic>
              <a:graphicData uri="http://schemas.openxmlformats.org/drawingml/2006/picture">
                <pic:pic>
                  <pic:nvPicPr>
                    <pic:cNvPr descr="image/report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3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 19: Создание пользователя</w:t>
      </w:r>
    </w:p>
    <w:p>
      <w:pPr>
        <w:numPr>
          <w:ilvl w:val="0"/>
          <w:numId w:val="1009"/>
        </w:numPr>
        <w:pStyle w:val="Compact"/>
      </w:pPr>
      <w:r>
        <w:t xml:space="preserve">Завершаем установку систему и перезагружаем ее. (Рис. -fig. 20).</w:t>
      </w:r>
    </w:p>
    <w:p>
      <w:pPr>
        <w:pStyle w:val="CaptionedFigure"/>
      </w:pPr>
      <w:bookmarkStart w:id="60" w:name="fig:020"/>
      <w:r>
        <w:drawing>
          <wp:inline>
            <wp:extent cx="5334000" cy="3934000"/>
            <wp:effectExtent b="0" l="0" r="0" t="0"/>
            <wp:docPr descr="Figure 20: Завершение установки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report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20: Завершение установки виртуальной машины</w:t>
      </w:r>
    </w:p>
    <w:p>
      <w:pPr>
        <w:numPr>
          <w:ilvl w:val="0"/>
          <w:numId w:val="1010"/>
        </w:numPr>
        <w:pStyle w:val="Compact"/>
      </w:pPr>
      <w:r>
        <w:t xml:space="preserve">Запускаем виртуальную машину Base и настраиваем её. (Рис. -fig. 21, -fig. 22).</w:t>
      </w:r>
    </w:p>
    <w:p>
      <w:pPr>
        <w:pStyle w:val="CaptionedFigure"/>
      </w:pPr>
      <w:bookmarkStart w:id="62" w:name="fig:021"/>
      <w:r>
        <w:drawing>
          <wp:inline>
            <wp:extent cx="5334000" cy="4215925"/>
            <wp:effectExtent b="0" l="0" r="0" t="0"/>
            <wp:docPr descr="Figure 21: Запуск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report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5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 21: Запуск виртуальной машины</w:t>
      </w:r>
    </w:p>
    <w:p>
      <w:pPr>
        <w:pStyle w:val="CaptionedFigure"/>
      </w:pPr>
      <w:bookmarkStart w:id="64" w:name="fig:022"/>
      <w:r>
        <w:drawing>
          <wp:inline>
            <wp:extent cx="5334000" cy="4258538"/>
            <wp:effectExtent b="0" l="0" r="0" t="0"/>
            <wp:docPr descr="Figure 22: Информация о лицензии" title="" id="1" name="Picture"/>
            <a:graphic>
              <a:graphicData uri="http://schemas.openxmlformats.org/drawingml/2006/picture">
                <pic:pic>
                  <pic:nvPicPr>
                    <pic:cNvPr descr="image/report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8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 22: Информация о лицензии</w:t>
      </w:r>
    </w:p>
    <w:p>
      <w:pPr>
        <w:numPr>
          <w:ilvl w:val="0"/>
          <w:numId w:val="1011"/>
        </w:numPr>
        <w:pStyle w:val="Compact"/>
      </w:pPr>
      <w:r>
        <w:t xml:space="preserve">Подключаемся к виртуальной машине с помощью созданной учётной записи. (Рис. -fig. 23).</w:t>
      </w:r>
    </w:p>
    <w:p>
      <w:pPr>
        <w:pStyle w:val="CaptionedFigure"/>
      </w:pPr>
      <w:bookmarkStart w:id="66" w:name="fig:023"/>
      <w:r>
        <w:drawing>
          <wp:inline>
            <wp:extent cx="5334000" cy="4496311"/>
            <wp:effectExtent b="0" l="0" r="0" t="0"/>
            <wp:docPr descr="Figure 23: Вход в учетную запись" title="" id="1" name="Picture"/>
            <a:graphic>
              <a:graphicData uri="http://schemas.openxmlformats.org/drawingml/2006/picture">
                <pic:pic>
                  <pic:nvPicPr>
                    <pic:cNvPr descr="image/report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96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 23: Вход в учетную запись</w:t>
      </w:r>
    </w:p>
    <w:p>
      <w:pPr>
        <w:numPr>
          <w:ilvl w:val="0"/>
          <w:numId w:val="1012"/>
        </w:numPr>
        <w:pStyle w:val="Compact"/>
      </w:pPr>
      <w:r>
        <w:t xml:space="preserve">На виртуальной машине Base запускаем терминал и переходим под учетную</w:t>
      </w:r>
      <w:r>
        <w:t xml:space="preserve"> </w:t>
      </w:r>
      <w:r>
        <w:t xml:space="preserve">запись root с помощью команды su.(Рис. -fig. 24).</w:t>
      </w:r>
    </w:p>
    <w:p>
      <w:pPr>
        <w:pStyle w:val="CaptionedFigure"/>
      </w:pPr>
      <w:bookmarkStart w:id="68" w:name="fig:024"/>
      <w:r>
        <w:drawing>
          <wp:inline>
            <wp:extent cx="5334000" cy="3506414"/>
            <wp:effectExtent b="0" l="0" r="0" t="0"/>
            <wp:docPr descr="Figure 24: Вход в учетную запись" title="" id="1" name="Picture"/>
            <a:graphic>
              <a:graphicData uri="http://schemas.openxmlformats.org/drawingml/2006/picture">
                <pic:pic>
                  <pic:nvPicPr>
                    <pic:cNvPr descr="image/report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64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 24: Вход в учетную запись</w:t>
      </w:r>
    </w:p>
    <w:p>
      <w:pPr>
        <w:numPr>
          <w:ilvl w:val="0"/>
          <w:numId w:val="1013"/>
        </w:numPr>
        <w:pStyle w:val="Compact"/>
      </w:pPr>
      <w:r>
        <w:t xml:space="preserve">С помощью команды yum update обновлем системные файлы и устанавливаем необходимые программы. (Рис. -fig. 25, -fig. 26).</w:t>
      </w:r>
    </w:p>
    <w:p>
      <w:pPr>
        <w:pStyle w:val="CaptionedFigure"/>
      </w:pPr>
      <w:bookmarkStart w:id="70" w:name="fig:025"/>
      <w:r>
        <w:drawing>
          <wp:inline>
            <wp:extent cx="5334000" cy="3463172"/>
            <wp:effectExtent b="0" l="0" r="0" t="0"/>
            <wp:docPr descr="Figure 25: Обновление системных файлов" title="" id="1" name="Picture"/>
            <a:graphic>
              <a:graphicData uri="http://schemas.openxmlformats.org/drawingml/2006/picture">
                <pic:pic>
                  <pic:nvPicPr>
                    <pic:cNvPr descr="image/report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 25: Обновление системных файлов</w:t>
      </w:r>
    </w:p>
    <w:p>
      <w:pPr>
        <w:pStyle w:val="CaptionedFigure"/>
      </w:pPr>
      <w:bookmarkStart w:id="72" w:name="fig:026"/>
      <w:r>
        <w:drawing>
          <wp:inline>
            <wp:extent cx="4940833" cy="4963885"/>
            <wp:effectExtent b="0" l="0" r="0" t="0"/>
            <wp:docPr descr="Figure 26: Установка необходимых программ" title="" id="1" name="Picture"/>
            <a:graphic>
              <a:graphicData uri="http://schemas.openxmlformats.org/drawingml/2006/picture">
                <pic:pic>
                  <pic:nvPicPr>
                    <pic:cNvPr descr="image/report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833" cy="4963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 26: Установка необходимых программ</w:t>
      </w:r>
    </w:p>
    <w:p>
      <w:pPr>
        <w:numPr>
          <w:ilvl w:val="0"/>
          <w:numId w:val="1014"/>
        </w:numPr>
        <w:pStyle w:val="Compact"/>
      </w:pPr>
      <w:r>
        <w:t xml:space="preserve">Освобождаем «Base.dvi»,чтобы другие виртуальные машины могли использовать машину Base и её конфигурацию как базовую. (Рис. -fig. 27).</w:t>
      </w:r>
    </w:p>
    <w:p>
      <w:pPr>
        <w:pStyle w:val="CaptionedFigure"/>
      </w:pPr>
      <w:bookmarkStart w:id="74" w:name="fig:027"/>
      <w:r>
        <w:drawing>
          <wp:inline>
            <wp:extent cx="5334000" cy="2830157"/>
            <wp:effectExtent b="0" l="0" r="0" t="0"/>
            <wp:docPr descr="Figure 27: Освобождение «Base.dvi»" title="" id="1" name="Picture"/>
            <a:graphic>
              <a:graphicData uri="http://schemas.openxmlformats.org/drawingml/2006/picture">
                <pic:pic>
                  <pic:nvPicPr>
                    <pic:cNvPr descr="image/report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0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 27: Освобождение «Base.dvi»</w:t>
      </w:r>
    </w:p>
    <w:p>
      <w:pPr>
        <w:numPr>
          <w:ilvl w:val="0"/>
          <w:numId w:val="1015"/>
        </w:numPr>
        <w:pStyle w:val="Compact"/>
      </w:pPr>
      <w:r>
        <w:t xml:space="preserve">На основе виртуальной машины Base создаем машину Host2, выбрав в качестве диска существующий жёсткий диск. (Рис. -fig. 28, -fig. 29).</w:t>
      </w:r>
    </w:p>
    <w:p>
      <w:pPr>
        <w:pStyle w:val="CaptionedFigure"/>
      </w:pPr>
      <w:bookmarkStart w:id="76" w:name="fig:028"/>
      <w:r>
        <w:drawing>
          <wp:inline>
            <wp:extent cx="5334000" cy="2873667"/>
            <wp:effectExtent b="0" l="0" r="0" t="0"/>
            <wp:docPr descr="Figure 28: Создание машины Host2" title="" id="1" name="Picture"/>
            <a:graphic>
              <a:graphicData uri="http://schemas.openxmlformats.org/drawingml/2006/picture">
                <pic:pic>
                  <pic:nvPicPr>
                    <pic:cNvPr descr="image/report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36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 28: Создание машины Host2</w:t>
      </w:r>
    </w:p>
    <w:p>
      <w:pPr>
        <w:pStyle w:val="CaptionedFigure"/>
      </w:pPr>
      <w:bookmarkStart w:id="78" w:name="fig:029"/>
      <w:r>
        <w:drawing>
          <wp:inline>
            <wp:extent cx="5334000" cy="3167757"/>
            <wp:effectExtent b="0" l="0" r="0" t="0"/>
            <wp:docPr descr="Figure 29: Выбор виртуального жесткого диска" title="" id="1" name="Picture"/>
            <a:graphic>
              <a:graphicData uri="http://schemas.openxmlformats.org/drawingml/2006/picture">
                <pic:pic>
                  <pic:nvPicPr>
                    <pic:cNvPr descr="image/report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7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 29: Выбор виртуального жесткого диска</w:t>
      </w:r>
    </w:p>
    <w:bookmarkEnd w:id="79"/>
    <w:bookmarkStart w:id="80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результате выполнения данной работы были приобретены навыки установки операционной системы на виртуальную машину, а также настроены минимально необходимые для дальнейшей работы сервисы.</w:t>
      </w:r>
    </w:p>
    <w:bookmarkEnd w:id="8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3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4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5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24" Target="media/rId24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1</dc:title>
  <dc:creator>Аксёнова Алина Владимировна</dc:creator>
  <dc:language>ru-RU</dc:language>
  <cp:keywords/>
  <dcterms:created xsi:type="dcterms:W3CDTF">2021-09-18T08:40:02Z</dcterms:created>
  <dcterms:modified xsi:type="dcterms:W3CDTF">2021-09-18T08:40:02Z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equationNumberTeX">
    <vt:lpwstr>qquad</vt:lpwstr>
  </property>
  <property fmtid="{D5CDD505-2E9C-101B-9397-08002B2CF9AE}" pid="18" name="figLabels">
    <vt:lpwstr>arabic</vt:lpwstr>
  </property>
  <property fmtid="{D5CDD505-2E9C-101B-9397-08002B2CF9AE}" pid="19" name="figPrefix">
    <vt:lpwstr/>
  </property>
  <property fmtid="{D5CDD505-2E9C-101B-9397-08002B2CF9AE}" pid="20" name="figPrefixTemplate">
    <vt:lpwstr>p i</vt:lpwstr>
  </property>
  <property fmtid="{D5CDD505-2E9C-101B-9397-08002B2CF9AE}" pid="21" name="figureTemplate">
    <vt:lpwstr>figureTitle ititleDelim t</vt:lpwstr>
  </property>
  <property fmtid="{D5CDD505-2E9C-101B-9397-08002B2CF9AE}" pid="22" name="figureTitle">
    <vt:lpwstr>Figure</vt:lpwstr>
  </property>
  <property fmtid="{D5CDD505-2E9C-101B-9397-08002B2CF9AE}" pid="23" name="fontsize">
    <vt:lpwstr>12pt</vt:lpwstr>
  </property>
  <property fmtid="{D5CDD505-2E9C-101B-9397-08002B2CF9AE}" pid="24" name="header-includes">
    <vt:lpwstr/>
  </property>
  <property fmtid="{D5CDD505-2E9C-101B-9397-08002B2CF9AE}" pid="25" name="indent">
    <vt:lpwstr>True</vt:lpwstr>
  </property>
  <property fmtid="{D5CDD505-2E9C-101B-9397-08002B2CF9AE}" pid="26" name="lastDelim">
    <vt:lpwstr>, </vt:lpwstr>
  </property>
  <property fmtid="{D5CDD505-2E9C-101B-9397-08002B2CF9AE}" pid="27" name="linestretch">
    <vt:lpwstr>1.5</vt:lpwstr>
  </property>
  <property fmtid="{D5CDD505-2E9C-101B-9397-08002B2CF9AE}" pid="28" name="linkReferences">
    <vt:lpwstr>False</vt:lpwstr>
  </property>
  <property fmtid="{D5CDD505-2E9C-101B-9397-08002B2CF9AE}" pid="29" name="listingTemplate">
    <vt:lpwstr>listingTitle ititleDelim t</vt:lpwstr>
  </property>
  <property fmtid="{D5CDD505-2E9C-101B-9397-08002B2CF9AE}" pid="30" name="listingTitle">
    <vt:lpwstr>Listing</vt:lpwstr>
  </property>
  <property fmtid="{D5CDD505-2E9C-101B-9397-08002B2CF9AE}" pid="31" name="listings">
    <vt:lpwstr>False</vt:lpwstr>
  </property>
  <property fmtid="{D5CDD505-2E9C-101B-9397-08002B2CF9AE}" pid="32" name="lof">
    <vt:lpwstr>True</vt:lpwstr>
  </property>
  <property fmtid="{D5CDD505-2E9C-101B-9397-08002B2CF9AE}" pid="33" name="lofTitle">
    <vt:lpwstr>List of Figures</vt:lpwstr>
  </property>
  <property fmtid="{D5CDD505-2E9C-101B-9397-08002B2CF9AE}" pid="34" name="lolTitle">
    <vt:lpwstr>List of Listings</vt:lpwstr>
  </property>
  <property fmtid="{D5CDD505-2E9C-101B-9397-08002B2CF9AE}" pid="35" name="lot">
    <vt:lpwstr>True</vt:lpwstr>
  </property>
  <property fmtid="{D5CDD505-2E9C-101B-9397-08002B2CF9AE}" pid="36" name="lotTitle">
    <vt:lpwstr>List of Tables</vt:lpwstr>
  </property>
  <property fmtid="{D5CDD505-2E9C-101B-9397-08002B2CF9AE}" pid="37" name="lstLabels">
    <vt:lpwstr>arabic</vt:lpwstr>
  </property>
  <property fmtid="{D5CDD505-2E9C-101B-9397-08002B2CF9AE}" pid="38" name="lstPrefix">
    <vt:lpwstr/>
  </property>
  <property fmtid="{D5CDD505-2E9C-101B-9397-08002B2CF9AE}" pid="39" name="lstPrefixTemplate">
    <vt:lpwstr>p i</vt:lpwstr>
  </property>
  <property fmtid="{D5CDD505-2E9C-101B-9397-08002B2CF9AE}" pid="40" name="mainfont">
    <vt:lpwstr>PT Serif</vt:lpwstr>
  </property>
  <property fmtid="{D5CDD505-2E9C-101B-9397-08002B2CF9AE}" pid="41" name="mainfontoptions">
    <vt:lpwstr>Ligatures=TeX</vt:lpwstr>
  </property>
  <property fmtid="{D5CDD505-2E9C-101B-9397-08002B2CF9AE}" pid="42" name="monofont">
    <vt:lpwstr>PT Mono</vt:lpwstr>
  </property>
  <property fmtid="{D5CDD505-2E9C-101B-9397-08002B2CF9AE}" pid="43" name="monofontoptions">
    <vt:lpwstr>Scale=MatchLowercase</vt:lpwstr>
  </property>
  <property fmtid="{D5CDD505-2E9C-101B-9397-08002B2CF9AE}" pid="44" name="nameInLink">
    <vt:lpwstr>False</vt:lpwstr>
  </property>
  <property fmtid="{D5CDD505-2E9C-101B-9397-08002B2CF9AE}" pid="45" name="numberSections">
    <vt:lpwstr>False</vt:lpwstr>
  </property>
  <property fmtid="{D5CDD505-2E9C-101B-9397-08002B2CF9AE}" pid="46" name="pairDelim">
    <vt:lpwstr>, </vt:lpwstr>
  </property>
  <property fmtid="{D5CDD505-2E9C-101B-9397-08002B2CF9AE}" pid="47" name="papersize">
    <vt:lpwstr>a4paper</vt:lpwstr>
  </property>
  <property fmtid="{D5CDD505-2E9C-101B-9397-08002B2CF9AE}" pid="48" name="pdf-engine">
    <vt:lpwstr>lualatex</vt:lpwstr>
  </property>
  <property fmtid="{D5CDD505-2E9C-101B-9397-08002B2CF9AE}" pid="49" name="polyglossia-lang">
    <vt:lpwstr>russian</vt:lpwstr>
  </property>
  <property fmtid="{D5CDD505-2E9C-101B-9397-08002B2CF9AE}" pid="50" name="polyglossia-otherlangs">
    <vt:lpwstr>english</vt:lpwstr>
  </property>
  <property fmtid="{D5CDD505-2E9C-101B-9397-08002B2CF9AE}" pid="51" name="rangeDelim">
    <vt:lpwstr>-</vt:lpwstr>
  </property>
  <property fmtid="{D5CDD505-2E9C-101B-9397-08002B2CF9AE}" pid="52" name="refDelim">
    <vt:lpwstr>, </vt:lpwstr>
  </property>
  <property fmtid="{D5CDD505-2E9C-101B-9397-08002B2CF9AE}" pid="53" name="refIndexTemplate">
    <vt:lpwstr>isuf</vt:lpwstr>
  </property>
  <property fmtid="{D5CDD505-2E9C-101B-9397-08002B2CF9AE}" pid="54" name="romanfont">
    <vt:lpwstr>PT Serif</vt:lpwstr>
  </property>
  <property fmtid="{D5CDD505-2E9C-101B-9397-08002B2CF9AE}" pid="55" name="romanfontoptions">
    <vt:lpwstr>Ligatures=TeX</vt:lpwstr>
  </property>
  <property fmtid="{D5CDD505-2E9C-101B-9397-08002B2CF9AE}" pid="56" name="sansfont">
    <vt:lpwstr>PT Sans</vt:lpwstr>
  </property>
  <property fmtid="{D5CDD505-2E9C-101B-9397-08002B2CF9AE}" pid="57" name="sansfontoptions">
    <vt:lpwstr>Ligatures=TeX,Scale=MatchLowercase</vt:lpwstr>
  </property>
  <property fmtid="{D5CDD505-2E9C-101B-9397-08002B2CF9AE}" pid="58" name="secHeaderDelim">
    <vt:lpwstr> </vt:lpwstr>
  </property>
  <property fmtid="{D5CDD505-2E9C-101B-9397-08002B2CF9AE}" pid="59" name="secHeaderTemplate">
    <vt:lpwstr>isecHeaderDelim[n]t</vt:lpwstr>
  </property>
  <property fmtid="{D5CDD505-2E9C-101B-9397-08002B2CF9AE}" pid="60" name="secLabels">
    <vt:lpwstr>arabic</vt:lpwstr>
  </property>
  <property fmtid="{D5CDD505-2E9C-101B-9397-08002B2CF9AE}" pid="61" name="secPrefix">
    <vt:lpwstr/>
  </property>
  <property fmtid="{D5CDD505-2E9C-101B-9397-08002B2CF9AE}" pid="62" name="secPrefixTemplate">
    <vt:lpwstr>p i</vt:lpwstr>
  </property>
  <property fmtid="{D5CDD505-2E9C-101B-9397-08002B2CF9AE}" pid="63" name="sectionsDepth">
    <vt:lpwstr>0</vt:lpwstr>
  </property>
  <property fmtid="{D5CDD505-2E9C-101B-9397-08002B2CF9AE}" pid="64" name="subfigGrid">
    <vt:lpwstr>False</vt:lpwstr>
  </property>
  <property fmtid="{D5CDD505-2E9C-101B-9397-08002B2CF9AE}" pid="65" name="subfigLabels">
    <vt:lpwstr>alpha a</vt:lpwstr>
  </property>
  <property fmtid="{D5CDD505-2E9C-101B-9397-08002B2CF9AE}" pid="66" name="subfigureChildTemplate">
    <vt:lpwstr>i</vt:lpwstr>
  </property>
  <property fmtid="{D5CDD505-2E9C-101B-9397-08002B2CF9AE}" pid="67" name="subfigureRefIndexTemplate">
    <vt:lpwstr>isuf (s)</vt:lpwstr>
  </property>
  <property fmtid="{D5CDD505-2E9C-101B-9397-08002B2CF9AE}" pid="68" name="subfigureTemplate">
    <vt:lpwstr>figureTitle ititleDelim t. ccs</vt:lpwstr>
  </property>
  <property fmtid="{D5CDD505-2E9C-101B-9397-08002B2CF9AE}" pid="69" name="subtitle">
    <vt:lpwstr>Установка и конфигурация операционной системы на виртуальную машину</vt:lpwstr>
  </property>
  <property fmtid="{D5CDD505-2E9C-101B-9397-08002B2CF9AE}" pid="70" name="tableEqns">
    <vt:lpwstr>False</vt:lpwstr>
  </property>
  <property fmtid="{D5CDD505-2E9C-101B-9397-08002B2CF9AE}" pid="71" name="tableTemplate">
    <vt:lpwstr>tableTitle ititleDelim t</vt:lpwstr>
  </property>
  <property fmtid="{D5CDD505-2E9C-101B-9397-08002B2CF9AE}" pid="72" name="tableTitle">
    <vt:lpwstr>Table</vt:lpwstr>
  </property>
  <property fmtid="{D5CDD505-2E9C-101B-9397-08002B2CF9AE}" pid="73" name="tblLabels">
    <vt:lpwstr>arabic</vt:lpwstr>
  </property>
  <property fmtid="{D5CDD505-2E9C-101B-9397-08002B2CF9AE}" pid="74" name="tblPrefix">
    <vt:lpwstr/>
  </property>
  <property fmtid="{D5CDD505-2E9C-101B-9397-08002B2CF9AE}" pid="75" name="tblPrefixTemplate">
    <vt:lpwstr>p i</vt:lpwstr>
  </property>
  <property fmtid="{D5CDD505-2E9C-101B-9397-08002B2CF9AE}" pid="76" name="titleDelim">
    <vt:lpwstr>:</vt:lpwstr>
  </property>
  <property fmtid="{D5CDD505-2E9C-101B-9397-08002B2CF9AE}" pid="77" name="toc">
    <vt:lpwstr>True</vt:lpwstr>
  </property>
  <property fmtid="{D5CDD505-2E9C-101B-9397-08002B2CF9AE}" pid="78" name="toc-title">
    <vt:lpwstr>Содержание</vt:lpwstr>
  </property>
  <property fmtid="{D5CDD505-2E9C-101B-9397-08002B2CF9AE}" pid="79" name="toc_depth">
    <vt:lpwstr>2</vt:lpwstr>
  </property>
</Properties>
</file>